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21EAE" w14:textId="2D66B4AA" w:rsidR="00BC0ADD" w:rsidRPr="00E6726D" w:rsidRDefault="00BC0ADD" w:rsidP="00BC0ADD">
      <w:pPr>
        <w:pStyle w:val="a3"/>
        <w:tabs>
          <w:tab w:val="right" w:pos="9639"/>
        </w:tabs>
        <w:rPr>
          <w:rFonts w:eastAsia="MS Mincho"/>
          <w:noProof w:val="0"/>
          <w:sz w:val="24"/>
          <w:szCs w:val="24"/>
          <w:lang w:val="en-GB" w:eastAsia="en-GB"/>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3D4805" w:rsidRPr="003D4805">
        <w:rPr>
          <w:rFonts w:eastAsia="MS Mincho"/>
          <w:noProof w:val="0"/>
          <w:sz w:val="24"/>
          <w:szCs w:val="24"/>
          <w:lang w:val="en-GB" w:eastAsia="en-GB"/>
        </w:rPr>
        <w:t>R2-2502358</w:t>
      </w:r>
    </w:p>
    <w:p w14:paraId="2D456653" w14:textId="6E566576" w:rsidR="00F10F74" w:rsidRPr="00BC0ADD" w:rsidRDefault="00BC0ADD" w:rsidP="00F10F74">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r>
        <w:rPr>
          <w:rFonts w:eastAsiaTheme="minorEastAsia" w:hint="eastAsia"/>
          <w:noProof w:val="0"/>
          <w:sz w:val="24"/>
          <w:szCs w:val="24"/>
          <w:lang w:val="en-GB" w:eastAsia="zh-CN"/>
        </w:rPr>
        <w:t xml:space="preserve">                           </w:t>
      </w:r>
      <w:r w:rsidRPr="00BC0ADD">
        <w:rPr>
          <w:rFonts w:eastAsiaTheme="minorEastAsia" w:hint="eastAsia"/>
          <w:b w:val="0"/>
          <w:bCs/>
          <w:i/>
          <w:iCs/>
          <w:noProof w:val="0"/>
          <w:sz w:val="24"/>
          <w:szCs w:val="24"/>
          <w:lang w:val="en-GB" w:eastAsia="zh-CN"/>
        </w:rPr>
        <w:t xml:space="preserve">Revision of </w:t>
      </w:r>
      <w:r w:rsidRPr="00BC0ADD">
        <w:rPr>
          <w:rFonts w:eastAsiaTheme="minorEastAsia"/>
          <w:b w:val="0"/>
          <w:bCs/>
          <w:i/>
          <w:iCs/>
          <w:noProof w:val="0"/>
          <w:sz w:val="24"/>
          <w:szCs w:val="24"/>
          <w:lang w:val="en-GB" w:eastAsia="zh-CN"/>
        </w:rPr>
        <w:t>R2-2500621</w:t>
      </w:r>
    </w:p>
    <w:p w14:paraId="1A10DE58" w14:textId="77777777" w:rsidR="00186BCD" w:rsidRPr="00F10F74"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5241B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86A90">
        <w:rPr>
          <w:rFonts w:eastAsia="宋体" w:cs="Arial" w:hint="eastAsia"/>
          <w:b/>
          <w:bCs/>
          <w:kern w:val="2"/>
          <w:sz w:val="24"/>
          <w:szCs w:val="22"/>
          <w:lang w:val="en-US" w:eastAsia="zh-CN"/>
        </w:rPr>
        <w:t>17</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4F5D2B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86A90" w:rsidRPr="00B86A90">
        <w:rPr>
          <w:rFonts w:ascii="Arial" w:hAnsi="Arial" w:cs="Arial"/>
          <w:b/>
          <w:bCs/>
          <w:sz w:val="24"/>
        </w:rPr>
        <w:t>Discussion on TDD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11918E69" w:rsidR="003D3635" w:rsidRDefault="00B86A90" w:rsidP="00357D5B">
      <w:pPr>
        <w:spacing w:beforeLines="50" w:before="156" w:afterLines="50" w:after="156"/>
        <w:rPr>
          <w:rFonts w:ascii="Times New Roman" w:hAnsi="Times New Roman"/>
          <w:sz w:val="22"/>
        </w:rPr>
      </w:pPr>
      <w:r>
        <w:rPr>
          <w:rFonts w:ascii="Times New Roman" w:hAnsi="Times New Roman" w:hint="eastAsia"/>
          <w:sz w:val="22"/>
        </w:rPr>
        <w:t xml:space="preserve">In RAN#106 a new work item </w:t>
      </w:r>
      <w:r>
        <w:rPr>
          <w:rFonts w:ascii="Times New Roman" w:hAnsi="Times New Roman"/>
          <w:sz w:val="22"/>
        </w:rPr>
        <w:t>“</w:t>
      </w:r>
      <w:r w:rsidRPr="00B86A90">
        <w:rPr>
          <w:rFonts w:ascii="Times New Roman" w:hAnsi="Times New Roman"/>
          <w:sz w:val="22"/>
        </w:rPr>
        <w:t>introduction of IoT-NTN TDD mode</w:t>
      </w:r>
      <w:r>
        <w:rPr>
          <w:rFonts w:ascii="Times New Roman" w:hAnsi="Times New Roman"/>
          <w:sz w:val="22"/>
        </w:rPr>
        <w:t>”</w:t>
      </w:r>
      <w:r>
        <w:rPr>
          <w:rFonts w:ascii="Times New Roman" w:hAnsi="Times New Roman" w:hint="eastAsia"/>
          <w:sz w:val="22"/>
        </w:rPr>
        <w:t xml:space="preserve"> was approved with the following objectives:</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1DB7755F" w14:textId="76D59823" w:rsidR="00B86A90" w:rsidRPr="00B86A90" w:rsidRDefault="00B86A90" w:rsidP="002C17F9">
            <w:pPr>
              <w:widowControl/>
              <w:suppressAutoHyphens/>
              <w:overflowPunct w:val="0"/>
              <w:autoSpaceDE w:val="0"/>
              <w:spacing w:after="120"/>
              <w:jc w:val="left"/>
              <w:textAlignment w:val="baseline"/>
              <w:rPr>
                <w:rFonts w:ascii="Times New Roman" w:hAnsi="Times New Roman"/>
                <w:sz w:val="22"/>
              </w:rPr>
            </w:pPr>
            <w:r w:rsidRPr="00B86A90">
              <w:rPr>
                <w:rFonts w:ascii="Times New Roman" w:hAnsi="Times New Roman"/>
                <w:sz w:val="22"/>
              </w:rPr>
              <w:t>Specify a new NB-IoT TDD NTN mode</w:t>
            </w:r>
            <w:r w:rsidRPr="00B86A90">
              <w:rPr>
                <w:rStyle w:val="WW8Num1z0"/>
                <w:rFonts w:ascii="Times New Roman" w:hAnsi="Times New Roman"/>
                <w:sz w:val="22"/>
              </w:rPr>
              <w:t xml:space="preserve"> </w:t>
            </w:r>
            <w:r w:rsidRPr="00B86A90">
              <w:rPr>
                <w:rStyle w:val="ui-provider"/>
                <w:rFonts w:ascii="Times New Roman" w:hAnsi="Times New Roman"/>
                <w:sz w:val="22"/>
              </w:rPr>
              <w:t>based on minimum necessary changes to the NB-IoT NTN FDD frame structure and procedures</w:t>
            </w:r>
            <w:r w:rsidRPr="00B86A90">
              <w:rPr>
                <w:rFonts w:ascii="Times New Roman" w:hAnsi="Times New Roman"/>
                <w:sz w:val="22"/>
              </w:rPr>
              <w:t>, including:</w:t>
            </w:r>
          </w:p>
          <w:p w14:paraId="221E8EF6" w14:textId="77777777" w:rsidR="00B86A90" w:rsidRPr="002C17F9" w:rsidRDefault="00B86A90" w:rsidP="002C17F9">
            <w:pPr>
              <w:pStyle w:val="a6"/>
              <w:numPr>
                <w:ilvl w:val="0"/>
                <w:numId w:val="54"/>
              </w:numPr>
              <w:suppressAutoHyphens/>
              <w:spacing w:after="120"/>
              <w:ind w:firstLineChars="0"/>
              <w:rPr>
                <w:sz w:val="22"/>
              </w:rPr>
            </w:pPr>
            <w:r w:rsidRPr="002C17F9">
              <w:rPr>
                <w:b/>
                <w:bCs/>
                <w:sz w:val="22"/>
              </w:rPr>
              <w:t>Definition, configuration (if needed) and signaling (if needed) of the periodic pattern, necessary adaptation (if needed) and associated UE procedures</w:t>
            </w:r>
            <w:r w:rsidRPr="002C17F9">
              <w:rPr>
                <w:sz w:val="22"/>
              </w:rPr>
              <w:t xml:space="preserve"> [RAN1, RAN2]</w:t>
            </w:r>
          </w:p>
          <w:p w14:paraId="24EE80C9" w14:textId="77777777" w:rsidR="00B86A90" w:rsidRPr="002C17F9" w:rsidRDefault="00B86A90" w:rsidP="002C17F9">
            <w:pPr>
              <w:pStyle w:val="a6"/>
              <w:numPr>
                <w:ilvl w:val="0"/>
                <w:numId w:val="54"/>
              </w:numPr>
              <w:suppressAutoHyphens/>
              <w:spacing w:after="120"/>
              <w:ind w:firstLineChars="0"/>
              <w:rPr>
                <w:sz w:val="22"/>
              </w:rPr>
            </w:pPr>
            <w:r w:rsidRPr="002C17F9">
              <w:rPr>
                <w:b/>
                <w:bCs/>
                <w:sz w:val="22"/>
              </w:rPr>
              <w:t>Other necessary impacts on higher layers</w:t>
            </w:r>
            <w:r w:rsidRPr="002C17F9">
              <w:rPr>
                <w:sz w:val="22"/>
              </w:rPr>
              <w:t xml:space="preserve"> [RAN2]</w:t>
            </w:r>
          </w:p>
          <w:p w14:paraId="6CCF69A5" w14:textId="77777777" w:rsidR="00B86A90" w:rsidRPr="002C17F9" w:rsidRDefault="00B86A90" w:rsidP="002C17F9">
            <w:pPr>
              <w:pStyle w:val="a6"/>
              <w:numPr>
                <w:ilvl w:val="0"/>
                <w:numId w:val="54"/>
              </w:numPr>
              <w:suppressAutoHyphens/>
              <w:spacing w:after="120"/>
              <w:ind w:firstLineChars="0"/>
              <w:rPr>
                <w:sz w:val="22"/>
              </w:rPr>
            </w:pPr>
            <w:r w:rsidRPr="002C17F9">
              <w:rPr>
                <w:sz w:val="22"/>
              </w:rPr>
              <w:t>RRM and RF core requirements [RAN4]</w:t>
            </w:r>
          </w:p>
          <w:p w14:paraId="7B1F29FF" w14:textId="17F5B6FA" w:rsidR="00751B04" w:rsidRPr="00B86A90" w:rsidRDefault="00B86A90" w:rsidP="002C17F9">
            <w:pPr>
              <w:widowControl/>
              <w:suppressAutoHyphens/>
              <w:overflowPunct w:val="0"/>
              <w:autoSpaceDE w:val="0"/>
              <w:spacing w:after="120"/>
              <w:jc w:val="left"/>
              <w:textAlignment w:val="baseline"/>
              <w:rPr>
                <w:rFonts w:ascii="Times New Roman" w:hAnsi="Times New Roman"/>
                <w:sz w:val="22"/>
              </w:rPr>
            </w:pPr>
            <w:r w:rsidRPr="00B86A90">
              <w:rPr>
                <w:rFonts w:ascii="Times New Roman" w:hAnsi="Times New Roman"/>
                <w:sz w:val="22"/>
              </w:rPr>
              <w:t>Specify a new NB-IoT TDD operating NTN band for the MSS allocation spanning 1616-1626.5 MHz for DL and UL, based on the outcome of the study, to be used as example band for this WI [RAN4].</w:t>
            </w:r>
          </w:p>
        </w:tc>
      </w:tr>
    </w:tbl>
    <w:p w14:paraId="223FC8D7" w14:textId="7BA0DF82" w:rsidR="00BC0ADD" w:rsidRDefault="00BC0ADD" w:rsidP="00357D5B">
      <w:pPr>
        <w:spacing w:beforeLines="50" w:before="156" w:afterLines="50" w:after="156"/>
        <w:rPr>
          <w:rFonts w:ascii="Times New Roman" w:hAnsi="Times New Roman"/>
          <w:sz w:val="22"/>
        </w:rPr>
      </w:pPr>
      <w:r>
        <w:rPr>
          <w:rFonts w:ascii="Times New Roman" w:hAnsi="Times New Roman" w:hint="eastAsia"/>
          <w:sz w:val="22"/>
        </w:rPr>
        <w:t>And RAN2#129 made the following agreements:</w:t>
      </w:r>
    </w:p>
    <w:tbl>
      <w:tblPr>
        <w:tblStyle w:val="af1"/>
        <w:tblW w:w="0" w:type="auto"/>
        <w:tblLook w:val="04A0" w:firstRow="1" w:lastRow="0" w:firstColumn="1" w:lastColumn="0" w:noHBand="0" w:noVBand="1"/>
      </w:tblPr>
      <w:tblGrid>
        <w:gridCol w:w="9629"/>
      </w:tblGrid>
      <w:tr w:rsidR="00BC0ADD" w14:paraId="34CA75C0" w14:textId="77777777" w:rsidTr="00BC0ADD">
        <w:tc>
          <w:tcPr>
            <w:tcW w:w="9629" w:type="dxa"/>
          </w:tcPr>
          <w:p w14:paraId="5659EE06" w14:textId="77777777" w:rsidR="00BC0ADD" w:rsidRPr="00BC0ADD" w:rsidRDefault="00BC0ADD" w:rsidP="00BC0ADD">
            <w:pPr>
              <w:rPr>
                <w:rFonts w:ascii="Times New Roman" w:hAnsi="Times New Roman"/>
                <w:sz w:val="22"/>
              </w:rPr>
            </w:pPr>
            <w:r w:rsidRPr="00BC0ADD">
              <w:rPr>
                <w:rFonts w:ascii="Times New Roman" w:hAnsi="Times New Roman"/>
                <w:sz w:val="22"/>
              </w:rPr>
              <w:t>Agreements:</w:t>
            </w:r>
          </w:p>
          <w:p w14:paraId="530D527E" w14:textId="77777777" w:rsidR="00BC0ADD" w:rsidRPr="00BC0ADD" w:rsidRDefault="00BC0ADD" w:rsidP="00BC0ADD">
            <w:pPr>
              <w:rPr>
                <w:rFonts w:ascii="Times New Roman" w:hAnsi="Times New Roman"/>
                <w:sz w:val="22"/>
              </w:rPr>
            </w:pPr>
            <w:r w:rsidRPr="00BC0ADD">
              <w:rPr>
                <w:rFonts w:ascii="Times New Roman" w:hAnsi="Times New Roman"/>
                <w:sz w:val="22"/>
              </w:rPr>
              <w:t>1.</w:t>
            </w:r>
            <w:r w:rsidRPr="00BC0ADD">
              <w:rPr>
                <w:rFonts w:ascii="Times New Roman" w:hAnsi="Times New Roman"/>
                <w:sz w:val="22"/>
              </w:rPr>
              <w:tab/>
              <w:t>RAN2 will continue studying paging aspects based, on RAN1 progress</w:t>
            </w:r>
          </w:p>
          <w:p w14:paraId="41227E58" w14:textId="77777777" w:rsidR="00BC0ADD" w:rsidRPr="00BC0ADD" w:rsidRDefault="00BC0ADD" w:rsidP="00BC0ADD">
            <w:pPr>
              <w:rPr>
                <w:rFonts w:ascii="Times New Roman" w:hAnsi="Times New Roman"/>
                <w:sz w:val="22"/>
              </w:rPr>
            </w:pPr>
            <w:r w:rsidRPr="00BC0ADD">
              <w:rPr>
                <w:rFonts w:ascii="Times New Roman" w:hAnsi="Times New Roman"/>
                <w:sz w:val="22"/>
              </w:rPr>
              <w:t>2.</w:t>
            </w:r>
            <w:r w:rsidRPr="00BC0ADD">
              <w:rPr>
                <w:rFonts w:ascii="Times New Roman" w:hAnsi="Times New Roman"/>
                <w:sz w:val="22"/>
              </w:rPr>
              <w:tab/>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6355D640" w14:textId="77777777" w:rsidR="00BC0ADD" w:rsidRPr="00BC0ADD" w:rsidRDefault="00BC0ADD" w:rsidP="00BC0ADD">
            <w:pPr>
              <w:rPr>
                <w:rFonts w:ascii="Times New Roman" w:hAnsi="Times New Roman"/>
                <w:sz w:val="22"/>
              </w:rPr>
            </w:pPr>
            <w:r w:rsidRPr="00BC0ADD">
              <w:rPr>
                <w:rFonts w:ascii="Times New Roman" w:hAnsi="Times New Roman"/>
                <w:sz w:val="22"/>
              </w:rPr>
              <w:t>3.</w:t>
            </w:r>
            <w:r w:rsidRPr="00BC0ADD">
              <w:rPr>
                <w:rFonts w:ascii="Times New Roman" w:hAnsi="Times New Roman"/>
                <w:sz w:val="22"/>
              </w:rPr>
              <w:tab/>
              <w:t>RAN2 confirms that idle mode eDRX is supported in IoT-NTN TDD network.</w:t>
            </w:r>
          </w:p>
          <w:p w14:paraId="6F093EBF" w14:textId="77777777" w:rsidR="00BC0ADD" w:rsidRPr="00BC0ADD" w:rsidRDefault="00BC0ADD" w:rsidP="00BC0ADD">
            <w:pPr>
              <w:rPr>
                <w:rFonts w:ascii="Times New Roman" w:hAnsi="Times New Roman"/>
                <w:sz w:val="22"/>
              </w:rPr>
            </w:pPr>
            <w:r w:rsidRPr="00BC0ADD">
              <w:rPr>
                <w:rFonts w:ascii="Times New Roman" w:hAnsi="Times New Roman"/>
                <w:sz w:val="22"/>
              </w:rPr>
              <w:t>4.</w:t>
            </w:r>
            <w:r w:rsidRPr="00BC0ADD">
              <w:rPr>
                <w:rFonts w:ascii="Times New Roman" w:hAnsi="Times New Roman"/>
                <w:sz w:val="22"/>
              </w:rPr>
              <w:tab/>
              <w:t>RAN2 thinks that a change of H-SFN duration (Option 1-1) and/or H-SFN total number (option 2-2) will impact RAN2 and SA2 specification regarding the support of idle mode eDRX in IoT-NTN TDD network and the impact should be evaluated.</w:t>
            </w:r>
          </w:p>
          <w:p w14:paraId="50B91BFF" w14:textId="77777777" w:rsidR="00BC0ADD" w:rsidRPr="00BC0ADD" w:rsidRDefault="00BC0ADD" w:rsidP="00BC0ADD">
            <w:pPr>
              <w:rPr>
                <w:rFonts w:ascii="Times New Roman" w:hAnsi="Times New Roman"/>
                <w:sz w:val="22"/>
              </w:rPr>
            </w:pPr>
            <w:r w:rsidRPr="00BC0ADD">
              <w:rPr>
                <w:rFonts w:ascii="Times New Roman" w:hAnsi="Times New Roman"/>
                <w:sz w:val="22"/>
              </w:rPr>
              <w:t>5.</w:t>
            </w:r>
            <w:r w:rsidRPr="00BC0ADD">
              <w:rPr>
                <w:rFonts w:ascii="Times New Roman" w:hAnsi="Times New Roman"/>
                <w:sz w:val="22"/>
              </w:rPr>
              <w:tab/>
              <w:t xml:space="preserve">RAN2 assumes that legacy coverage enhancement techniques (i.e. transmission with repetitions) are supported in IoT-NTN TDD system. </w:t>
            </w:r>
          </w:p>
          <w:p w14:paraId="6873F427" w14:textId="77777777" w:rsidR="00BC0ADD" w:rsidRPr="00BC0ADD" w:rsidRDefault="00BC0ADD" w:rsidP="00BC0ADD">
            <w:pPr>
              <w:rPr>
                <w:rFonts w:ascii="Times New Roman" w:hAnsi="Times New Roman"/>
                <w:sz w:val="22"/>
              </w:rPr>
            </w:pPr>
            <w:r w:rsidRPr="00BC0ADD">
              <w:rPr>
                <w:rFonts w:ascii="Times New Roman" w:hAnsi="Times New Roman"/>
                <w:sz w:val="22"/>
              </w:rPr>
              <w:t>6.</w:t>
            </w:r>
            <w:r w:rsidRPr="00BC0ADD">
              <w:rPr>
                <w:rFonts w:ascii="Times New Roman" w:hAnsi="Times New Roman"/>
                <w:sz w:val="22"/>
              </w:rPr>
              <w:tab/>
              <w:t xml:space="preserve">RAN2 can continue the discussion also on RAR window </w:t>
            </w:r>
          </w:p>
          <w:p w14:paraId="3ACF10F6" w14:textId="436A794C" w:rsidR="00BC0ADD" w:rsidRDefault="00BC0ADD" w:rsidP="00BC0ADD">
            <w:pPr>
              <w:rPr>
                <w:rFonts w:ascii="Times New Roman" w:hAnsi="Times New Roman"/>
                <w:sz w:val="22"/>
              </w:rPr>
            </w:pPr>
            <w:r w:rsidRPr="00BC0ADD">
              <w:rPr>
                <w:rFonts w:ascii="Times New Roman" w:hAnsi="Times New Roman"/>
                <w:sz w:val="22"/>
              </w:rPr>
              <w:t>7.</w:t>
            </w:r>
            <w:r w:rsidRPr="00BC0ADD">
              <w:rPr>
                <w:rFonts w:ascii="Times New Roman" w:hAnsi="Times New Roman"/>
                <w:sz w:val="22"/>
              </w:rPr>
              <w:tab/>
              <w:t>Legacy barring bit will be used (FFS is cellBarred or cellBarred-NTN)</w:t>
            </w:r>
          </w:p>
        </w:tc>
      </w:tr>
    </w:tbl>
    <w:p w14:paraId="335C3B46" w14:textId="7F0C9F14"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 xml:space="preserve">some </w:t>
      </w:r>
      <w:r w:rsidR="00B86A90">
        <w:rPr>
          <w:rFonts w:ascii="Times New Roman" w:hAnsi="Times New Roman" w:hint="eastAsia"/>
          <w:sz w:val="22"/>
        </w:rPr>
        <w:t>potential issues to support TDD mode in IoT-NTN from RAN2 perspective</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49A6AC9" w14:textId="350D746D" w:rsidR="00313F43" w:rsidRDefault="00313F43" w:rsidP="009F2BC0">
      <w:pPr>
        <w:spacing w:beforeLines="50" w:before="156" w:afterLines="50" w:after="156"/>
        <w:rPr>
          <w:rFonts w:ascii="Times New Roman" w:hAnsi="Times New Roman"/>
          <w:sz w:val="22"/>
        </w:rPr>
      </w:pPr>
      <w:r w:rsidRPr="00313F43">
        <w:rPr>
          <w:rFonts w:ascii="Times New Roman" w:hAnsi="Times New Roman"/>
          <w:sz w:val="22"/>
        </w:rPr>
        <w:t>Th</w:t>
      </w:r>
      <w:r>
        <w:rPr>
          <w:rFonts w:ascii="Times New Roman" w:hAnsi="Times New Roman" w:hint="eastAsia"/>
          <w:sz w:val="22"/>
        </w:rPr>
        <w:t>is</w:t>
      </w:r>
      <w:r w:rsidRPr="00313F43">
        <w:rPr>
          <w:rFonts w:ascii="Times New Roman" w:hAnsi="Times New Roman"/>
          <w:sz w:val="22"/>
        </w:rPr>
        <w:t xml:space="preserve"> work item on TDD support for </w:t>
      </w:r>
      <w:r>
        <w:rPr>
          <w:rFonts w:ascii="Times New Roman" w:hAnsi="Times New Roman" w:hint="eastAsia"/>
          <w:sz w:val="22"/>
        </w:rPr>
        <w:t>IoT-</w:t>
      </w:r>
      <w:r w:rsidRPr="00313F43">
        <w:rPr>
          <w:rFonts w:ascii="Times New Roman" w:hAnsi="Times New Roman"/>
          <w:sz w:val="22"/>
        </w:rPr>
        <w:t xml:space="preserve">NTN aims to design a periodic pattern that restricts usable DL and UL </w:t>
      </w:r>
      <w:r w:rsidRPr="00313F43">
        <w:rPr>
          <w:rFonts w:ascii="Times New Roman" w:hAnsi="Times New Roman"/>
          <w:sz w:val="22"/>
        </w:rPr>
        <w:lastRenderedPageBreak/>
        <w:t>resources within a period. Although the details of the pattern including the parameters and value ranges have not been decided</w:t>
      </w:r>
      <w:r>
        <w:rPr>
          <w:rFonts w:ascii="Times New Roman" w:hAnsi="Times New Roman" w:hint="eastAsia"/>
          <w:sz w:val="22"/>
        </w:rPr>
        <w:t xml:space="preserve"> by RAN1</w:t>
      </w:r>
      <w:r w:rsidRPr="00313F43">
        <w:rPr>
          <w:rFonts w:ascii="Times New Roman" w:hAnsi="Times New Roman"/>
          <w:sz w:val="22"/>
        </w:rPr>
        <w:t xml:space="preserve">, </w:t>
      </w:r>
      <w:r>
        <w:rPr>
          <w:rFonts w:ascii="Times New Roman" w:hAnsi="Times New Roman" w:hint="eastAsia"/>
          <w:sz w:val="22"/>
        </w:rPr>
        <w:t xml:space="preserve">it is common sense that </w:t>
      </w:r>
      <w:r w:rsidRPr="00313F43">
        <w:rPr>
          <w:rFonts w:ascii="Times New Roman" w:hAnsi="Times New Roman"/>
          <w:sz w:val="22"/>
        </w:rPr>
        <w:t>some essential parameters including the periodicity, DL and UL resources and guard period (for DL/UL switch) are needed. In R1-2409440 an example of the TDD pattern is provided as in Figure 1, including:</w:t>
      </w:r>
    </w:p>
    <w:p w14:paraId="29654881"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DL-UL-TransmissionPeriodicity</w:t>
      </w:r>
      <w:r w:rsidRPr="00AC70B9">
        <w:rPr>
          <w:rFonts w:eastAsiaTheme="minorEastAsia"/>
          <w:lang w:val="en-US" w:eastAsia="zh-CN"/>
        </w:rPr>
        <w:t xml:space="preserve"> (referred to as N in the WID) which indicates the periodicity of the DL-UL pattern. It can be provided in number of radio frames. At least N equal to 9 Radio frames should be supported. </w:t>
      </w:r>
    </w:p>
    <w:p w14:paraId="2D9B5415"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nrOfDownlinkSubframes</w:t>
      </w:r>
      <w:r w:rsidRPr="00AC70B9">
        <w:rPr>
          <w:rFonts w:eastAsiaTheme="minorEastAsia"/>
          <w:lang w:val="en-US" w:eastAsia="zh-CN"/>
        </w:rPr>
        <w:t xml:space="preserve"> corresponding to the number of consecutive/ contiguous DL subframes at the beginning of each DL-UL pattern.</w:t>
      </w:r>
    </w:p>
    <w:p w14:paraId="3AF56D97"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nrOfUplinkSubframes</w:t>
      </w:r>
      <w:r w:rsidRPr="00AC70B9">
        <w:rPr>
          <w:rFonts w:eastAsiaTheme="minorEastAsia"/>
          <w:lang w:val="en-US" w:eastAsia="zh-CN"/>
        </w:rPr>
        <w:t xml:space="preserve"> which provides the number of consecutive/ contiguous UL subframes.</w:t>
      </w:r>
    </w:p>
    <w:p w14:paraId="747A0A07"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b/>
          <w:bCs/>
          <w:i/>
          <w:iCs/>
          <w:lang w:val="en-US" w:eastAsia="zh-CN"/>
        </w:rPr>
        <w:t>DownlinkToUplinkGuardPeriod</w:t>
      </w:r>
      <w:r w:rsidRPr="00AC70B9">
        <w:rPr>
          <w:rFonts w:eastAsiaTheme="minorEastAsia"/>
          <w:lang w:val="en-US" w:eastAsia="zh-CN"/>
        </w:rPr>
        <w:t xml:space="preserve"> which indicates the Downlink to uplink Guard Period for TDD operation.</w:t>
      </w:r>
    </w:p>
    <w:p w14:paraId="08DF9606" w14:textId="77777777" w:rsidR="00313F43" w:rsidRPr="00AC70B9" w:rsidRDefault="00313F43" w:rsidP="00313F43">
      <w:pPr>
        <w:pStyle w:val="a6"/>
        <w:numPr>
          <w:ilvl w:val="0"/>
          <w:numId w:val="52"/>
        </w:numPr>
        <w:spacing w:beforeLines="50" w:before="156" w:afterLines="50" w:after="156"/>
        <w:ind w:firstLineChars="0"/>
        <w:contextualSpacing/>
        <w:jc w:val="both"/>
        <w:rPr>
          <w:rFonts w:eastAsiaTheme="minorEastAsia"/>
          <w:lang w:val="en-US" w:eastAsia="zh-CN"/>
        </w:rPr>
      </w:pPr>
      <w:r w:rsidRPr="00AC70B9">
        <w:rPr>
          <w:rFonts w:eastAsiaTheme="minorEastAsia"/>
          <w:lang w:val="en-US" w:eastAsia="zh-CN"/>
        </w:rPr>
        <w:t xml:space="preserve">An </w:t>
      </w:r>
      <w:r w:rsidRPr="00AC70B9">
        <w:rPr>
          <w:rFonts w:eastAsiaTheme="minorEastAsia"/>
          <w:b/>
          <w:bCs/>
          <w:i/>
          <w:iCs/>
          <w:lang w:val="en-US" w:eastAsia="zh-CN"/>
        </w:rPr>
        <w:t>offset</w:t>
      </w:r>
      <w:r w:rsidRPr="00AC70B9">
        <w:rPr>
          <w:rFonts w:eastAsiaTheme="minorEastAsia"/>
          <w:lang w:val="en-US" w:eastAsia="zh-CN"/>
        </w:rPr>
        <w:t xml:space="preserve"> to indicate the start of the TDD pattern period.</w:t>
      </w:r>
    </w:p>
    <w:p w14:paraId="7200A66B" w14:textId="77777777" w:rsidR="00313F43" w:rsidRDefault="00313F43" w:rsidP="00313F43">
      <w:pPr>
        <w:spacing w:beforeLines="50" w:before="156" w:afterLines="50" w:after="156"/>
        <w:jc w:val="center"/>
        <w:rPr>
          <w:rFonts w:eastAsiaTheme="minorEastAsia"/>
        </w:rPr>
      </w:pPr>
      <w:r>
        <w:rPr>
          <w:rFonts w:eastAsiaTheme="minorEastAsia"/>
          <w:noProof/>
        </w:rPr>
        <w:drawing>
          <wp:inline distT="0" distB="0" distL="0" distR="0" wp14:anchorId="1B1C3B7E" wp14:editId="252302FA">
            <wp:extent cx="6021463" cy="1109579"/>
            <wp:effectExtent l="0" t="0" r="0" b="0"/>
            <wp:docPr id="9059059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3521" cy="1132071"/>
                    </a:xfrm>
                    <a:prstGeom prst="rect">
                      <a:avLst/>
                    </a:prstGeom>
                    <a:noFill/>
                  </pic:spPr>
                </pic:pic>
              </a:graphicData>
            </a:graphic>
          </wp:inline>
        </w:drawing>
      </w:r>
    </w:p>
    <w:p w14:paraId="1DFD57C1" w14:textId="77777777" w:rsidR="00313F43" w:rsidRPr="00313F43" w:rsidRDefault="00313F43" w:rsidP="00313F43">
      <w:pPr>
        <w:spacing w:beforeLines="50" w:before="156" w:afterLines="50" w:after="156"/>
        <w:jc w:val="center"/>
        <w:rPr>
          <w:rFonts w:ascii="Times New Roman" w:eastAsiaTheme="minorEastAsia" w:hAnsi="Times New Roman"/>
          <w:sz w:val="22"/>
        </w:rPr>
      </w:pPr>
      <w:r w:rsidRPr="00313F43">
        <w:rPr>
          <w:rFonts w:ascii="Times New Roman" w:eastAsiaTheme="minorEastAsia" w:hAnsi="Times New Roman"/>
          <w:sz w:val="22"/>
        </w:rPr>
        <w:t>Figure 1. An example of the TDD pattern for NTN</w:t>
      </w:r>
    </w:p>
    <w:p w14:paraId="756EE846" w14:textId="0E3656C7" w:rsidR="00313F43" w:rsidRPr="00313F43" w:rsidRDefault="00313F43" w:rsidP="00313F43">
      <w:pPr>
        <w:spacing w:beforeLines="50" w:before="156" w:afterLines="50" w:after="156"/>
        <w:rPr>
          <w:rFonts w:ascii="Times New Roman" w:hAnsi="Times New Roman"/>
          <w:sz w:val="22"/>
        </w:rPr>
      </w:pPr>
      <w:r w:rsidRPr="00313F43">
        <w:rPr>
          <w:rFonts w:ascii="Times New Roman" w:hAnsi="Times New Roman"/>
          <w:sz w:val="22"/>
        </w:rPr>
        <w:t xml:space="preserve">It is observed that with the TDD pattern configured, the DL and UL resources that can be used in a period is restricted and the timing of the resource at </w:t>
      </w:r>
      <w:r w:rsidR="002C17F9">
        <w:rPr>
          <w:rFonts w:ascii="Times New Roman" w:hAnsi="Times New Roman"/>
          <w:sz w:val="22"/>
        </w:rPr>
        <w:t>eNB</w:t>
      </w:r>
      <w:r w:rsidRPr="00313F43">
        <w:rPr>
          <w:rFonts w:ascii="Times New Roman" w:hAnsi="Times New Roman"/>
          <w:sz w:val="22"/>
        </w:rPr>
        <w:t xml:space="preserve"> and UE are different due to large propagation delay in NTN. </w:t>
      </w:r>
      <w:r w:rsidR="00903C09">
        <w:rPr>
          <w:rFonts w:ascii="Times New Roman" w:hAnsi="Times New Roman" w:hint="eastAsia"/>
          <w:sz w:val="22"/>
        </w:rPr>
        <w:t xml:space="preserve">The </w:t>
      </w:r>
      <w:r w:rsidR="00903C09" w:rsidRPr="00903C09">
        <w:rPr>
          <w:rFonts w:ascii="Times New Roman" w:hAnsi="Times New Roman"/>
          <w:sz w:val="22"/>
        </w:rPr>
        <w:t xml:space="preserve">DL subframes are </w:t>
      </w:r>
      <w:r w:rsidR="00903C09">
        <w:rPr>
          <w:rFonts w:ascii="Times New Roman" w:hAnsi="Times New Roman" w:hint="eastAsia"/>
          <w:sz w:val="22"/>
        </w:rPr>
        <w:t xml:space="preserve">to be </w:t>
      </w:r>
      <w:r w:rsidR="00903C09" w:rsidRPr="00903C09">
        <w:rPr>
          <w:rFonts w:ascii="Times New Roman" w:hAnsi="Times New Roman"/>
          <w:sz w:val="22"/>
        </w:rPr>
        <w:t>offseted late with half</w:t>
      </w:r>
      <w:r w:rsidR="00903C09">
        <w:rPr>
          <w:rFonts w:ascii="Times New Roman" w:hAnsi="Times New Roman" w:hint="eastAsia"/>
          <w:sz w:val="22"/>
        </w:rPr>
        <w:t xml:space="preserve"> of</w:t>
      </w:r>
      <w:r w:rsidR="00903C09" w:rsidRPr="00903C09">
        <w:rPr>
          <w:rFonts w:ascii="Times New Roman" w:hAnsi="Times New Roman"/>
          <w:sz w:val="22"/>
        </w:rPr>
        <w:t xml:space="preserve"> </w:t>
      </w:r>
      <w:r w:rsidR="00903C09">
        <w:rPr>
          <w:rFonts w:ascii="Times New Roman" w:hAnsi="Times New Roman" w:hint="eastAsia"/>
          <w:sz w:val="22"/>
        </w:rPr>
        <w:t xml:space="preserve">UE-eNB </w:t>
      </w:r>
      <w:r w:rsidR="00903C09" w:rsidRPr="00903C09">
        <w:rPr>
          <w:rFonts w:ascii="Times New Roman" w:hAnsi="Times New Roman"/>
          <w:sz w:val="22"/>
        </w:rPr>
        <w:t>RTT, and UL subframes are offseted early with half</w:t>
      </w:r>
      <w:r w:rsidR="00903C09">
        <w:rPr>
          <w:rFonts w:ascii="Times New Roman" w:hAnsi="Times New Roman" w:hint="eastAsia"/>
          <w:sz w:val="22"/>
        </w:rPr>
        <w:t xml:space="preserve"> of</w:t>
      </w:r>
      <w:r w:rsidR="00903C09" w:rsidRPr="00903C09">
        <w:rPr>
          <w:rFonts w:ascii="Times New Roman" w:hAnsi="Times New Roman"/>
          <w:sz w:val="22"/>
        </w:rPr>
        <w:t xml:space="preserve"> </w:t>
      </w:r>
      <w:r w:rsidR="00903C09">
        <w:rPr>
          <w:rFonts w:ascii="Times New Roman" w:hAnsi="Times New Roman" w:hint="eastAsia"/>
          <w:sz w:val="22"/>
        </w:rPr>
        <w:t xml:space="preserve">UE-eNB </w:t>
      </w:r>
      <w:r w:rsidR="00903C09" w:rsidRPr="00903C09">
        <w:rPr>
          <w:rFonts w:ascii="Times New Roman" w:hAnsi="Times New Roman"/>
          <w:sz w:val="22"/>
        </w:rPr>
        <w:t>RTT.</w:t>
      </w:r>
      <w:r w:rsidR="00903C09">
        <w:rPr>
          <w:rFonts w:ascii="Times New Roman" w:hAnsi="Times New Roman" w:hint="eastAsia"/>
          <w:sz w:val="22"/>
        </w:rPr>
        <w:t xml:space="preserve"> </w:t>
      </w:r>
      <w:r w:rsidRPr="00313F43">
        <w:rPr>
          <w:rFonts w:ascii="Times New Roman" w:hAnsi="Times New Roman"/>
          <w:sz w:val="22"/>
        </w:rPr>
        <w:t>From network perspective the TDD pattern configured shall guarantee workable and efficient DL/UL resource scheduling and from UE perspective the impact of non-D(ownlink) and non-U(plink) subframes on UE reception and transmission shall be considered.</w:t>
      </w:r>
    </w:p>
    <w:p w14:paraId="023979C2" w14:textId="159C49DE" w:rsidR="00313F43" w:rsidRDefault="00313F43" w:rsidP="00313F43">
      <w:pPr>
        <w:spacing w:beforeLines="50" w:before="156" w:afterLines="50" w:after="156"/>
        <w:rPr>
          <w:rFonts w:ascii="Times New Roman" w:hAnsi="Times New Roman"/>
          <w:sz w:val="22"/>
        </w:rPr>
      </w:pPr>
      <w:r w:rsidRPr="00313F43">
        <w:rPr>
          <w:rFonts w:ascii="Times New Roman" w:hAnsi="Times New Roman"/>
          <w:sz w:val="22"/>
        </w:rPr>
        <w:t>To avoid possible collision or too long inactive time (as the actual gap at UE in Figure 1) at UE, the guard period shall cover the UE-</w:t>
      </w:r>
      <w:r w:rsidR="002C17F9">
        <w:rPr>
          <w:rFonts w:ascii="Times New Roman" w:hAnsi="Times New Roman"/>
          <w:sz w:val="22"/>
        </w:rPr>
        <w:t>eNB</w:t>
      </w:r>
      <w:r w:rsidRPr="00313F43">
        <w:rPr>
          <w:rFonts w:ascii="Times New Roman" w:hAnsi="Times New Roman"/>
          <w:sz w:val="22"/>
        </w:rPr>
        <w:t xml:space="preserve"> RTT with limited margin. More specifically, if the guard period is less than UE-</w:t>
      </w:r>
      <w:r w:rsidR="002C17F9">
        <w:rPr>
          <w:rFonts w:ascii="Times New Roman" w:hAnsi="Times New Roman"/>
          <w:sz w:val="22"/>
        </w:rPr>
        <w:t>eNB</w:t>
      </w:r>
      <w:r w:rsidRPr="00313F43">
        <w:rPr>
          <w:rFonts w:ascii="Times New Roman" w:hAnsi="Times New Roman"/>
          <w:sz w:val="22"/>
        </w:rPr>
        <w:t xml:space="preserve"> RTT, there will be DL/UL resource collision at UE; if the guard period is much larger than UE-</w:t>
      </w:r>
      <w:r w:rsidR="002C17F9">
        <w:rPr>
          <w:rFonts w:ascii="Times New Roman" w:hAnsi="Times New Roman"/>
          <w:sz w:val="22"/>
        </w:rPr>
        <w:t>eNB</w:t>
      </w:r>
      <w:r w:rsidRPr="00313F43">
        <w:rPr>
          <w:rFonts w:ascii="Times New Roman" w:hAnsi="Times New Roman"/>
          <w:sz w:val="22"/>
        </w:rPr>
        <w:t xml:space="preserve"> RTT, there will be too long inactive time at UE that decreases resource efficiency.</w:t>
      </w:r>
    </w:p>
    <w:p w14:paraId="3884F670" w14:textId="1CA44239" w:rsidR="00313F43" w:rsidRPr="00313F43" w:rsidRDefault="00313F43" w:rsidP="00313F43">
      <w:pPr>
        <w:spacing w:beforeLines="50" w:before="156" w:afterLines="50" w:after="156"/>
        <w:rPr>
          <w:rFonts w:ascii="Times New Roman" w:hAnsi="Times New Roman"/>
          <w:b/>
          <w:bCs/>
          <w:sz w:val="22"/>
        </w:rPr>
      </w:pPr>
      <w:r w:rsidRPr="00313F43">
        <w:rPr>
          <w:rFonts w:ascii="Times New Roman" w:hAnsi="Times New Roman" w:hint="eastAsia"/>
          <w:b/>
          <w:bCs/>
          <w:sz w:val="22"/>
        </w:rPr>
        <w:t>Observation 1: The guard period configured in the TDD pattern is expected to be aligned with the latest UE-eNB RTT.</w:t>
      </w:r>
    </w:p>
    <w:p w14:paraId="1BE19005" w14:textId="68A3EB8A" w:rsidR="00313F43" w:rsidRDefault="00313F43" w:rsidP="009F2BC0">
      <w:pPr>
        <w:spacing w:beforeLines="50" w:before="156" w:afterLines="50" w:after="156"/>
        <w:rPr>
          <w:rFonts w:ascii="Times New Roman" w:hAnsi="Times New Roman"/>
          <w:sz w:val="22"/>
        </w:rPr>
      </w:pPr>
      <w:r>
        <w:rPr>
          <w:rFonts w:ascii="Times New Roman" w:hAnsi="Times New Roman" w:hint="eastAsia"/>
          <w:sz w:val="22"/>
        </w:rPr>
        <w:t>Therefore, t</w:t>
      </w:r>
      <w:r w:rsidRPr="00313F43">
        <w:rPr>
          <w:rFonts w:ascii="Times New Roman" w:hAnsi="Times New Roman"/>
          <w:sz w:val="22"/>
        </w:rPr>
        <w:t xml:space="preserve">he </w:t>
      </w:r>
      <w:r w:rsidR="002C17F9">
        <w:rPr>
          <w:rFonts w:ascii="Times New Roman" w:hAnsi="Times New Roman"/>
          <w:sz w:val="22"/>
        </w:rPr>
        <w:t>eNB</w:t>
      </w:r>
      <w:r w:rsidRPr="00313F43">
        <w:rPr>
          <w:rFonts w:ascii="Times New Roman" w:hAnsi="Times New Roman"/>
          <w:sz w:val="22"/>
        </w:rPr>
        <w:t xml:space="preserve"> </w:t>
      </w:r>
      <w:r>
        <w:rPr>
          <w:rFonts w:ascii="Times New Roman" w:hAnsi="Times New Roman" w:hint="eastAsia"/>
          <w:sz w:val="22"/>
        </w:rPr>
        <w:t xml:space="preserve">may </w:t>
      </w:r>
      <w:r w:rsidRPr="00313F43">
        <w:rPr>
          <w:rFonts w:ascii="Times New Roman" w:hAnsi="Times New Roman"/>
          <w:sz w:val="22"/>
        </w:rPr>
        <w:t>need information that can derive UE-</w:t>
      </w:r>
      <w:r w:rsidR="002C17F9">
        <w:rPr>
          <w:rFonts w:ascii="Times New Roman" w:hAnsi="Times New Roman"/>
          <w:sz w:val="22"/>
        </w:rPr>
        <w:t>eNB</w:t>
      </w:r>
      <w:r w:rsidRPr="00313F43">
        <w:rPr>
          <w:rFonts w:ascii="Times New Roman" w:hAnsi="Times New Roman"/>
          <w:sz w:val="22"/>
        </w:rPr>
        <w:t xml:space="preserve"> RTT to determine the guard period, otherwise the </w:t>
      </w:r>
      <w:r w:rsidR="002C17F9">
        <w:rPr>
          <w:rFonts w:ascii="Times New Roman" w:hAnsi="Times New Roman"/>
          <w:sz w:val="22"/>
        </w:rPr>
        <w:t>eNB</w:t>
      </w:r>
      <w:r w:rsidRPr="00313F43">
        <w:rPr>
          <w:rFonts w:ascii="Times New Roman" w:hAnsi="Times New Roman"/>
          <w:sz w:val="22"/>
        </w:rPr>
        <w:t xml:space="preserve"> may have to configure a worst value corresponding to the maximum propagation delay in the NTN cell, which could decrease efficiency of resource usage.</w:t>
      </w:r>
      <w:r w:rsidR="00B10262">
        <w:rPr>
          <w:rFonts w:ascii="Times New Roman" w:hAnsi="Times New Roman" w:hint="eastAsia"/>
          <w:sz w:val="22"/>
        </w:rPr>
        <w:t xml:space="preserve"> This could be implemented directly by UE reporting of the UE-eNB RTT currently applied e.g., for HARQ RTT timers, or indirectly by other UE reporting including the TA currently compensated or the UE-specific TA derived.</w:t>
      </w:r>
    </w:p>
    <w:p w14:paraId="4C3A061A" w14:textId="3EF267F0" w:rsidR="00313F43" w:rsidRPr="00F779BC" w:rsidRDefault="00313F43" w:rsidP="009F2BC0">
      <w:pPr>
        <w:spacing w:beforeLines="50" w:before="156" w:afterLines="50" w:after="156"/>
        <w:rPr>
          <w:rFonts w:ascii="Times New Roman" w:hAnsi="Times New Roman"/>
          <w:b/>
          <w:bCs/>
          <w:sz w:val="22"/>
        </w:rPr>
      </w:pPr>
      <w:r w:rsidRPr="00F779BC">
        <w:rPr>
          <w:rFonts w:ascii="Times New Roman" w:hAnsi="Times New Roman" w:hint="eastAsia"/>
          <w:b/>
          <w:bCs/>
          <w:sz w:val="22"/>
        </w:rPr>
        <w:t>Proposal 1: RAN2 to discuss how to ensure that eNB has the latest UE-eNB RTT</w:t>
      </w:r>
      <w:r w:rsidR="00F779BC" w:rsidRPr="00F779BC">
        <w:rPr>
          <w:rFonts w:ascii="Times New Roman" w:hAnsi="Times New Roman" w:hint="eastAsia"/>
          <w:b/>
          <w:bCs/>
          <w:sz w:val="22"/>
        </w:rPr>
        <w:t xml:space="preserve"> (e.g. by UE reporting or assistance) for TDD pattern configuration.</w:t>
      </w:r>
    </w:p>
    <w:p w14:paraId="4A20561F" w14:textId="772E9B7D" w:rsidR="00313F43" w:rsidRDefault="00F779BC" w:rsidP="009F2BC0">
      <w:pPr>
        <w:spacing w:beforeLines="50" w:before="156" w:afterLines="50" w:after="156"/>
        <w:rPr>
          <w:rFonts w:ascii="Times New Roman" w:hAnsi="Times New Roman"/>
          <w:sz w:val="22"/>
        </w:rPr>
      </w:pPr>
      <w:r>
        <w:rPr>
          <w:rFonts w:ascii="Times New Roman" w:hAnsi="Times New Roman" w:hint="eastAsia"/>
          <w:sz w:val="22"/>
        </w:rPr>
        <w:t xml:space="preserve">Meanwhile, consider a worse case that </w:t>
      </w:r>
      <w:r w:rsidRPr="00F779BC">
        <w:rPr>
          <w:rFonts w:ascii="Times New Roman" w:hAnsi="Times New Roman"/>
          <w:sz w:val="22"/>
        </w:rPr>
        <w:t xml:space="preserve">there is collision or too long inactive time at UE (meaning too short or too long guard period configuration), the </w:t>
      </w:r>
      <w:r w:rsidR="002C17F9">
        <w:rPr>
          <w:rFonts w:ascii="Times New Roman" w:hAnsi="Times New Roman"/>
          <w:sz w:val="22"/>
        </w:rPr>
        <w:t>eNB</w:t>
      </w:r>
      <w:r w:rsidRPr="00F779BC">
        <w:rPr>
          <w:rFonts w:ascii="Times New Roman" w:hAnsi="Times New Roman"/>
          <w:sz w:val="22"/>
        </w:rPr>
        <w:t xml:space="preserve"> </w:t>
      </w:r>
      <w:r>
        <w:rPr>
          <w:rFonts w:ascii="Times New Roman" w:hAnsi="Times New Roman" w:hint="eastAsia"/>
          <w:sz w:val="22"/>
        </w:rPr>
        <w:t>may benefit from UE</w:t>
      </w:r>
      <w:r>
        <w:rPr>
          <w:rFonts w:ascii="Times New Roman" w:hAnsi="Times New Roman"/>
          <w:sz w:val="22"/>
        </w:rPr>
        <w:t>’</w:t>
      </w:r>
      <w:r>
        <w:rPr>
          <w:rFonts w:ascii="Times New Roman" w:hAnsi="Times New Roman" w:hint="eastAsia"/>
          <w:sz w:val="22"/>
        </w:rPr>
        <w:t>s feedback</w:t>
      </w:r>
      <w:r w:rsidRPr="00F779BC">
        <w:rPr>
          <w:rFonts w:ascii="Times New Roman" w:hAnsi="Times New Roman"/>
          <w:sz w:val="22"/>
        </w:rPr>
        <w:t xml:space="preserve"> to update/optimize the configuration.</w:t>
      </w:r>
    </w:p>
    <w:p w14:paraId="1EDD6BF5" w14:textId="1213F4D4" w:rsidR="00F779BC" w:rsidRPr="00F779BC" w:rsidRDefault="00F779BC" w:rsidP="00F779BC">
      <w:pPr>
        <w:spacing w:beforeLines="50" w:before="156" w:afterLines="50" w:after="156"/>
        <w:rPr>
          <w:rFonts w:ascii="Times New Roman" w:hAnsi="Times New Roman"/>
          <w:b/>
          <w:bCs/>
          <w:sz w:val="22"/>
        </w:rPr>
      </w:pPr>
      <w:r w:rsidRPr="00F779BC">
        <w:rPr>
          <w:rFonts w:ascii="Times New Roman" w:hAnsi="Times New Roman" w:hint="eastAsia"/>
          <w:b/>
          <w:bCs/>
          <w:sz w:val="22"/>
        </w:rPr>
        <w:lastRenderedPageBreak/>
        <w:t xml:space="preserve">Proposal 2: RAN2 to discuss the necessity of UE reporting in case of UL/DL </w:t>
      </w:r>
      <w:r w:rsidRPr="00F779BC">
        <w:rPr>
          <w:rFonts w:ascii="Times New Roman" w:hAnsi="Times New Roman"/>
          <w:b/>
          <w:bCs/>
          <w:sz w:val="22"/>
        </w:rPr>
        <w:t>collision or too long inactive time</w:t>
      </w:r>
      <w:r w:rsidRPr="00F779BC">
        <w:rPr>
          <w:rFonts w:ascii="Times New Roman" w:hAnsi="Times New Roman" w:hint="eastAsia"/>
          <w:b/>
          <w:bCs/>
          <w:sz w:val="22"/>
        </w:rPr>
        <w:t xml:space="preserve"> due to TDD </w:t>
      </w:r>
      <w:r w:rsidRPr="00F779BC">
        <w:rPr>
          <w:rFonts w:ascii="Times New Roman" w:hAnsi="Times New Roman"/>
          <w:b/>
          <w:bCs/>
          <w:sz w:val="22"/>
        </w:rPr>
        <w:t>configuration</w:t>
      </w:r>
      <w:r w:rsidRPr="00F779BC">
        <w:rPr>
          <w:rFonts w:ascii="Times New Roman" w:hAnsi="Times New Roman" w:hint="eastAsia"/>
          <w:b/>
          <w:bCs/>
          <w:sz w:val="22"/>
        </w:rPr>
        <w:t xml:space="preserve"> from eNB, e.g. to help eNB </w:t>
      </w:r>
      <w:r w:rsidRPr="00F779BC">
        <w:rPr>
          <w:rFonts w:ascii="Times New Roman" w:hAnsi="Times New Roman"/>
          <w:b/>
          <w:bCs/>
          <w:sz w:val="22"/>
        </w:rPr>
        <w:t>update/optimize the</w:t>
      </w:r>
      <w:r w:rsidRPr="00F779BC">
        <w:rPr>
          <w:rFonts w:ascii="Times New Roman" w:hAnsi="Times New Roman" w:hint="eastAsia"/>
          <w:b/>
          <w:bCs/>
          <w:sz w:val="22"/>
        </w:rPr>
        <w:t xml:space="preserve"> TDD pattern</w:t>
      </w:r>
      <w:r w:rsidRPr="00F779BC">
        <w:rPr>
          <w:rFonts w:ascii="Times New Roman" w:hAnsi="Times New Roman"/>
          <w:b/>
          <w:bCs/>
          <w:sz w:val="22"/>
        </w:rPr>
        <w:t xml:space="preserve"> configuration.</w:t>
      </w:r>
    </w:p>
    <w:p w14:paraId="5CA20417" w14:textId="77777777" w:rsidR="00B10262" w:rsidRPr="004E51EC" w:rsidRDefault="00B10262" w:rsidP="00B10262">
      <w:pPr>
        <w:spacing w:beforeLines="50" w:before="156" w:afterLines="50" w:after="156"/>
        <w:rPr>
          <w:rFonts w:ascii="Times New Roman" w:eastAsiaTheme="minorEastAsia" w:hAnsi="Times New Roman"/>
          <w:sz w:val="22"/>
        </w:rPr>
      </w:pPr>
      <w:r w:rsidRPr="004E51EC">
        <w:rPr>
          <w:rFonts w:ascii="Times New Roman" w:eastAsiaTheme="minorEastAsia" w:hAnsi="Times New Roman"/>
          <w:sz w:val="22"/>
        </w:rPr>
        <w:t>Due to the scheduling of configured TDD pattern, a downlink/uplink operation may overlap with non-D(ownlink)/non-U(plink) subframes, and RAN1#119 made the following agreements:</w:t>
      </w:r>
    </w:p>
    <w:tbl>
      <w:tblPr>
        <w:tblStyle w:val="af1"/>
        <w:tblW w:w="0" w:type="auto"/>
        <w:tblLook w:val="04A0" w:firstRow="1" w:lastRow="0" w:firstColumn="1" w:lastColumn="0" w:noHBand="0" w:noVBand="1"/>
      </w:tblPr>
      <w:tblGrid>
        <w:gridCol w:w="9629"/>
      </w:tblGrid>
      <w:tr w:rsidR="00B10262" w:rsidRPr="004E51EC" w14:paraId="3076A412" w14:textId="77777777" w:rsidTr="008C66E8">
        <w:tc>
          <w:tcPr>
            <w:tcW w:w="9839" w:type="dxa"/>
          </w:tcPr>
          <w:p w14:paraId="4E83C703" w14:textId="77777777" w:rsidR="00B10262" w:rsidRPr="004E51EC" w:rsidRDefault="00B10262" w:rsidP="008C66E8">
            <w:pPr>
              <w:pStyle w:val="af6"/>
              <w:overflowPunct w:val="0"/>
              <w:spacing w:before="0" w:beforeAutospacing="0" w:after="0" w:afterAutospacing="0"/>
              <w:jc w:val="both"/>
              <w:rPr>
                <w:rFonts w:eastAsiaTheme="minorEastAsia"/>
                <w:color w:val="000000"/>
                <w:kern w:val="24"/>
                <w:sz w:val="22"/>
                <w:szCs w:val="22"/>
                <w:lang w:val="en-GB"/>
              </w:rPr>
            </w:pPr>
            <w:r w:rsidRPr="004E51EC">
              <w:rPr>
                <w:rFonts w:eastAsia="Times New Roman"/>
                <w:color w:val="000000"/>
                <w:kern w:val="24"/>
                <w:sz w:val="22"/>
                <w:szCs w:val="22"/>
                <w:lang w:val="en-GB"/>
              </w:rPr>
              <w:t xml:space="preserve">RAN1 to further discuss how to handle the overlap of NPUSCH with non-U NB-IoT subframes, the overlap of NPRACH with non-U NB-IoT subframes, and the overlap of NPDCCH/NPDSCH (other than the one carrying SIB1-NB) (including e.g. starting point, windows for SI or RAR and other window sizes for DL channels/signals, PO, etc.) with non-D NB-IoT subframes. </w:t>
            </w:r>
          </w:p>
        </w:tc>
      </w:tr>
    </w:tbl>
    <w:p w14:paraId="7CF7213A" w14:textId="77777777" w:rsidR="00B10262" w:rsidRPr="004E51EC" w:rsidRDefault="00B10262" w:rsidP="00B10262">
      <w:pPr>
        <w:spacing w:beforeLines="50" w:before="156" w:afterLines="50" w:after="156"/>
        <w:rPr>
          <w:rFonts w:ascii="Times New Roman" w:eastAsiaTheme="minorEastAsia" w:hAnsi="Times New Roman"/>
          <w:sz w:val="22"/>
        </w:rPr>
      </w:pPr>
      <w:r w:rsidRPr="004E51EC">
        <w:rPr>
          <w:rFonts w:ascii="Times New Roman" w:hAnsi="Times New Roman"/>
          <w:sz w:val="22"/>
        </w:rPr>
        <w:t xml:space="preserve">From RAN2 perspective, </w:t>
      </w:r>
      <w:r w:rsidRPr="004E51EC">
        <w:rPr>
          <w:rFonts w:ascii="Times New Roman" w:eastAsiaTheme="minorEastAsia" w:hAnsi="Times New Roman"/>
          <w:sz w:val="22"/>
        </w:rPr>
        <w:t>due to the scheduling of configured TDD pattern, an uplink reporting could be delayed if triggered in UL inactive time or non-U subframes. The reporting could be time-sensitive including:</w:t>
      </w:r>
    </w:p>
    <w:p w14:paraId="2FC2A043" w14:textId="4E00A8EF"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Timing Advance Report (TAR) that includes the timing advance applied at UE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UL scheduling. The value varies over time.</w:t>
      </w:r>
    </w:p>
    <w:p w14:paraId="588AFD49" w14:textId="4998BE8A"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Propagation Delay Difference (PDD) reporting that includes the propagation delay difference(s) between serving cell and neighbour cell(s)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SMTC window or measurement gap configuration. The value varies over time.</w:t>
      </w:r>
    </w:p>
    <w:p w14:paraId="6723B647" w14:textId="3F77FCCF" w:rsidR="00B10262" w:rsidRPr="004E51EC" w:rsidRDefault="00B10262" w:rsidP="00B10262">
      <w:pPr>
        <w:pStyle w:val="a6"/>
        <w:numPr>
          <w:ilvl w:val="0"/>
          <w:numId w:val="53"/>
        </w:numPr>
        <w:spacing w:beforeLines="50" w:before="156" w:afterLines="50" w:after="156"/>
        <w:ind w:firstLineChars="0"/>
        <w:contextualSpacing/>
        <w:jc w:val="both"/>
        <w:rPr>
          <w:rFonts w:eastAsiaTheme="minorEastAsia"/>
          <w:sz w:val="22"/>
          <w:szCs w:val="22"/>
          <w:lang w:val="en-US" w:eastAsia="zh-CN"/>
        </w:rPr>
      </w:pPr>
      <w:r w:rsidRPr="004E51EC">
        <w:rPr>
          <w:rFonts w:eastAsiaTheme="minorEastAsia"/>
          <w:sz w:val="22"/>
          <w:szCs w:val="22"/>
          <w:lang w:val="en-US" w:eastAsia="zh-CN"/>
        </w:rPr>
        <w:t xml:space="preserve">GNSS validity duration reporting that includes the remaining validity duration of the latest GNSS position fix result and can be used by </w:t>
      </w:r>
      <w:r w:rsidR="002C17F9">
        <w:rPr>
          <w:rFonts w:eastAsiaTheme="minorEastAsia"/>
          <w:sz w:val="22"/>
          <w:szCs w:val="22"/>
          <w:lang w:val="en-US" w:eastAsia="zh-CN"/>
        </w:rPr>
        <w:t>eNB</w:t>
      </w:r>
      <w:r w:rsidRPr="004E51EC">
        <w:rPr>
          <w:rFonts w:eastAsiaTheme="minorEastAsia"/>
          <w:sz w:val="22"/>
          <w:szCs w:val="22"/>
          <w:lang w:val="en-US" w:eastAsia="zh-CN"/>
        </w:rPr>
        <w:t xml:space="preserve"> for GNSS measurement gap configuration. The value varies over time but can be easily derived.</w:t>
      </w:r>
    </w:p>
    <w:p w14:paraId="4A6D74D4" w14:textId="5B8D6158" w:rsidR="00F779BC" w:rsidRPr="004E51EC" w:rsidRDefault="00B10262" w:rsidP="00F779BC">
      <w:pPr>
        <w:spacing w:beforeLines="50" w:before="156" w:afterLines="50" w:after="156"/>
        <w:rPr>
          <w:rFonts w:ascii="Times New Roman" w:hAnsi="Times New Roman"/>
          <w:sz w:val="22"/>
        </w:rPr>
      </w:pPr>
      <w:r w:rsidRPr="004E51EC">
        <w:rPr>
          <w:rFonts w:ascii="Times New Roman" w:hAnsi="Times New Roman"/>
          <w:sz w:val="22"/>
        </w:rPr>
        <w:t>Therefore</w:t>
      </w:r>
      <w:r w:rsidR="004E51EC">
        <w:rPr>
          <w:rFonts w:ascii="Times New Roman" w:hAnsi="Times New Roman" w:hint="eastAsia"/>
          <w:sz w:val="22"/>
        </w:rPr>
        <w:t>,</w:t>
      </w:r>
      <w:r w:rsidRPr="004E51EC">
        <w:rPr>
          <w:rFonts w:ascii="Times New Roman" w:hAnsi="Times New Roman"/>
          <w:sz w:val="22"/>
        </w:rPr>
        <w:t xml:space="preserve"> it may be necessary to discuss how to handle these reports triggered </w:t>
      </w:r>
      <w:r w:rsidR="004E51EC" w:rsidRPr="004E51EC">
        <w:rPr>
          <w:rFonts w:ascii="Times New Roman" w:hAnsi="Times New Roman"/>
          <w:sz w:val="22"/>
        </w:rPr>
        <w:t>at a non-U subframe.</w:t>
      </w:r>
    </w:p>
    <w:p w14:paraId="0B553A7C" w14:textId="29026299" w:rsidR="004E51EC" w:rsidRPr="004E51EC" w:rsidRDefault="004E51EC" w:rsidP="00F779BC">
      <w:pPr>
        <w:spacing w:beforeLines="50" w:before="156" w:afterLines="50" w:after="156"/>
        <w:rPr>
          <w:rFonts w:ascii="Times New Roman" w:hAnsi="Times New Roman"/>
          <w:sz w:val="22"/>
        </w:rPr>
      </w:pPr>
      <w:r w:rsidRPr="004E51EC">
        <w:rPr>
          <w:rFonts w:ascii="Times New Roman" w:eastAsiaTheme="minorEastAsia" w:hAnsi="Times New Roman"/>
          <w:b/>
          <w:bCs/>
          <w:sz w:val="22"/>
        </w:rPr>
        <w:t xml:space="preserve">Proposal </w:t>
      </w:r>
      <w:r>
        <w:rPr>
          <w:rFonts w:ascii="Times New Roman" w:eastAsiaTheme="minorEastAsia" w:hAnsi="Times New Roman" w:hint="eastAsia"/>
          <w:b/>
          <w:bCs/>
          <w:sz w:val="22"/>
        </w:rPr>
        <w:t>3</w:t>
      </w:r>
      <w:r w:rsidRPr="004E51EC">
        <w:rPr>
          <w:rFonts w:ascii="Times New Roman" w:eastAsiaTheme="minorEastAsia" w:hAnsi="Times New Roman"/>
          <w:b/>
          <w:bCs/>
          <w:sz w:val="22"/>
        </w:rPr>
        <w:t xml:space="preserve">: RAN2 to discuss how to handle an UL reporting triggered at </w:t>
      </w:r>
      <w:r w:rsidRPr="004E51EC">
        <w:rPr>
          <w:rFonts w:ascii="Times New Roman" w:hAnsi="Times New Roman"/>
          <w:b/>
          <w:bCs/>
          <w:sz w:val="22"/>
        </w:rPr>
        <w:t>a non-U subframe</w:t>
      </w:r>
      <w:r w:rsidRPr="004E51EC">
        <w:rPr>
          <w:rFonts w:ascii="Times New Roman" w:eastAsiaTheme="minorEastAsia" w:hAnsi="Times New Roman"/>
          <w:b/>
          <w:bCs/>
          <w:sz w:val="22"/>
        </w:rPr>
        <w:t xml:space="preserve"> based on TDD resource configuration.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B01ED94"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 issues and potential solutions in cell barring</w:t>
      </w:r>
      <w:r w:rsidR="00FB6BF3">
        <w:rPr>
          <w:rFonts w:ascii="Times New Roman" w:hAnsi="Times New Roman" w:hint="eastAsia"/>
          <w:sz w:val="22"/>
        </w:rPr>
        <w:t>, cell reselection</w:t>
      </w:r>
      <w:r w:rsidRPr="00E40D1C">
        <w:rPr>
          <w:rFonts w:ascii="Times New Roman" w:hAnsi="Times New Roman"/>
          <w:sz w:val="22"/>
        </w:rPr>
        <w:t xml:space="preserve"> and operation information exchange for S&amp;F operations in IoT NTN</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30446B1F" w14:textId="77777777" w:rsidR="004E51EC" w:rsidRPr="00F779BC" w:rsidRDefault="004E51EC" w:rsidP="004E51EC">
      <w:pPr>
        <w:spacing w:beforeLines="50" w:before="156" w:afterLines="50" w:after="156"/>
        <w:rPr>
          <w:rFonts w:ascii="Times New Roman" w:hAnsi="Times New Roman"/>
          <w:b/>
          <w:bCs/>
          <w:sz w:val="22"/>
        </w:rPr>
      </w:pPr>
      <w:r w:rsidRPr="00F779BC">
        <w:rPr>
          <w:rFonts w:ascii="Times New Roman" w:hAnsi="Times New Roman" w:hint="eastAsia"/>
          <w:b/>
          <w:bCs/>
          <w:sz w:val="22"/>
        </w:rPr>
        <w:t>Proposal 1: RAN2 to discuss how to ensure that eNB has the latest UE-eNB RTT (e.g. by UE reporting or assistance) for TDD pattern configuration.</w:t>
      </w:r>
    </w:p>
    <w:p w14:paraId="4BCE5436" w14:textId="77777777" w:rsidR="004E51EC" w:rsidRPr="004E51EC" w:rsidRDefault="004E51EC" w:rsidP="004E51EC">
      <w:pPr>
        <w:spacing w:beforeLines="50" w:before="156" w:afterLines="50" w:after="156"/>
        <w:rPr>
          <w:rFonts w:ascii="Times New Roman" w:hAnsi="Times New Roman"/>
          <w:b/>
          <w:bCs/>
          <w:sz w:val="22"/>
        </w:rPr>
      </w:pPr>
      <w:r w:rsidRPr="00F779BC">
        <w:rPr>
          <w:rFonts w:ascii="Times New Roman" w:hAnsi="Times New Roman" w:hint="eastAsia"/>
          <w:b/>
          <w:bCs/>
          <w:sz w:val="22"/>
        </w:rPr>
        <w:t xml:space="preserve">Proposal 2: RAN2 to discuss the necessity of UE reporting in case of UL/DL </w:t>
      </w:r>
      <w:r w:rsidRPr="00F779BC">
        <w:rPr>
          <w:rFonts w:ascii="Times New Roman" w:hAnsi="Times New Roman"/>
          <w:b/>
          <w:bCs/>
          <w:sz w:val="22"/>
        </w:rPr>
        <w:t>collision or too long inactive time</w:t>
      </w:r>
      <w:r w:rsidRPr="00F779BC">
        <w:rPr>
          <w:rFonts w:ascii="Times New Roman" w:hAnsi="Times New Roman" w:hint="eastAsia"/>
          <w:b/>
          <w:bCs/>
          <w:sz w:val="22"/>
        </w:rPr>
        <w:t xml:space="preserve"> due to TDD </w:t>
      </w:r>
      <w:r w:rsidRPr="00F779BC">
        <w:rPr>
          <w:rFonts w:ascii="Times New Roman" w:hAnsi="Times New Roman"/>
          <w:b/>
          <w:bCs/>
          <w:sz w:val="22"/>
        </w:rPr>
        <w:t>configuration</w:t>
      </w:r>
      <w:r w:rsidRPr="00F779BC">
        <w:rPr>
          <w:rFonts w:ascii="Times New Roman" w:hAnsi="Times New Roman" w:hint="eastAsia"/>
          <w:b/>
          <w:bCs/>
          <w:sz w:val="22"/>
        </w:rPr>
        <w:t xml:space="preserve"> from eNB, e.g. to help eNB </w:t>
      </w:r>
      <w:r w:rsidRPr="00F779BC">
        <w:rPr>
          <w:rFonts w:ascii="Times New Roman" w:hAnsi="Times New Roman"/>
          <w:b/>
          <w:bCs/>
          <w:sz w:val="22"/>
        </w:rPr>
        <w:t>update/optimize the</w:t>
      </w:r>
      <w:r w:rsidRPr="00F779BC">
        <w:rPr>
          <w:rFonts w:ascii="Times New Roman" w:hAnsi="Times New Roman" w:hint="eastAsia"/>
          <w:b/>
          <w:bCs/>
          <w:sz w:val="22"/>
        </w:rPr>
        <w:t xml:space="preserve"> TDD pattern</w:t>
      </w:r>
      <w:r w:rsidRPr="00F779BC">
        <w:rPr>
          <w:rFonts w:ascii="Times New Roman" w:hAnsi="Times New Roman"/>
          <w:b/>
          <w:bCs/>
          <w:sz w:val="22"/>
        </w:rPr>
        <w:t xml:space="preserve"> </w:t>
      </w:r>
      <w:r w:rsidRPr="004E51EC">
        <w:rPr>
          <w:rFonts w:ascii="Times New Roman" w:hAnsi="Times New Roman"/>
          <w:b/>
          <w:bCs/>
          <w:sz w:val="22"/>
        </w:rPr>
        <w:t>configuration.</w:t>
      </w:r>
    </w:p>
    <w:p w14:paraId="18478002" w14:textId="79DC4420" w:rsidR="005C389C" w:rsidRPr="004E51EC" w:rsidRDefault="004E51EC" w:rsidP="004E51EC">
      <w:pPr>
        <w:spacing w:beforeLines="50" w:before="156" w:afterLines="50" w:after="156"/>
        <w:rPr>
          <w:rFonts w:ascii="Times New Roman" w:hAnsi="Times New Roman"/>
          <w:b/>
          <w:bCs/>
          <w:sz w:val="22"/>
        </w:rPr>
      </w:pPr>
      <w:r w:rsidRPr="004E51EC">
        <w:rPr>
          <w:rFonts w:ascii="Times New Roman" w:eastAsiaTheme="minorEastAsia" w:hAnsi="Times New Roman"/>
          <w:b/>
          <w:bCs/>
          <w:sz w:val="22"/>
        </w:rPr>
        <w:t xml:space="preserve">Proposal </w:t>
      </w:r>
      <w:r w:rsidRPr="004E51EC">
        <w:rPr>
          <w:rFonts w:ascii="Times New Roman" w:eastAsiaTheme="minorEastAsia" w:hAnsi="Times New Roman" w:hint="eastAsia"/>
          <w:b/>
          <w:bCs/>
          <w:sz w:val="22"/>
        </w:rPr>
        <w:t>3</w:t>
      </w:r>
      <w:r w:rsidRPr="004E51EC">
        <w:rPr>
          <w:rFonts w:ascii="Times New Roman" w:eastAsiaTheme="minorEastAsia" w:hAnsi="Times New Roman"/>
          <w:b/>
          <w:bCs/>
          <w:sz w:val="22"/>
        </w:rPr>
        <w:t xml:space="preserve">: RAN2 to discuss how to handle an UL reporting triggered at </w:t>
      </w:r>
      <w:r w:rsidRPr="004E51EC">
        <w:rPr>
          <w:rFonts w:ascii="Times New Roman" w:hAnsi="Times New Roman"/>
          <w:b/>
          <w:bCs/>
          <w:sz w:val="22"/>
        </w:rPr>
        <w:t>a non-U subframe</w:t>
      </w:r>
      <w:r w:rsidRPr="004E51EC">
        <w:rPr>
          <w:rFonts w:ascii="Times New Roman" w:eastAsiaTheme="minorEastAsia" w:hAnsi="Times New Roman"/>
          <w:b/>
          <w:bCs/>
          <w:sz w:val="22"/>
        </w:rPr>
        <w:t xml:space="preserve"> based on TDD resource configuration.</w:t>
      </w:r>
    </w:p>
    <w:sectPr w:rsidR="005C389C" w:rsidRPr="004E51EC"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47D05" w14:textId="77777777" w:rsidR="00F5164A" w:rsidRDefault="00F5164A">
      <w:r>
        <w:separator/>
      </w:r>
    </w:p>
  </w:endnote>
  <w:endnote w:type="continuationSeparator" w:id="0">
    <w:p w14:paraId="09A3A1C7" w14:textId="77777777" w:rsidR="00F5164A" w:rsidRDefault="00F5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5970" w14:textId="77777777" w:rsidR="00F5164A" w:rsidRDefault="00F5164A">
      <w:r>
        <w:separator/>
      </w:r>
    </w:p>
  </w:footnote>
  <w:footnote w:type="continuationSeparator" w:id="0">
    <w:p w14:paraId="20BC0E20" w14:textId="77777777" w:rsidR="00F5164A" w:rsidRDefault="00F51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0050D34"/>
    <w:multiLevelType w:val="hybridMultilevel"/>
    <w:tmpl w:val="8CE49D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B77503"/>
    <w:multiLevelType w:val="hybridMultilevel"/>
    <w:tmpl w:val="A6DA729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EA516B"/>
    <w:multiLevelType w:val="hybridMultilevel"/>
    <w:tmpl w:val="86C012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1"/>
  </w:num>
  <w:num w:numId="2" w16cid:durableId="1984658315">
    <w:abstractNumId w:val="5"/>
  </w:num>
  <w:num w:numId="3" w16cid:durableId="722876610">
    <w:abstractNumId w:val="47"/>
  </w:num>
  <w:num w:numId="4" w16cid:durableId="859195836">
    <w:abstractNumId w:val="46"/>
  </w:num>
  <w:num w:numId="5" w16cid:durableId="220140937">
    <w:abstractNumId w:val="21"/>
  </w:num>
  <w:num w:numId="6" w16cid:durableId="1734040883">
    <w:abstractNumId w:val="40"/>
  </w:num>
  <w:num w:numId="7" w16cid:durableId="2045521902">
    <w:abstractNumId w:val="10"/>
  </w:num>
  <w:num w:numId="8" w16cid:durableId="163935166">
    <w:abstractNumId w:val="27"/>
  </w:num>
  <w:num w:numId="9" w16cid:durableId="1679574324">
    <w:abstractNumId w:val="9"/>
  </w:num>
  <w:num w:numId="10" w16cid:durableId="75370074">
    <w:abstractNumId w:val="28"/>
  </w:num>
  <w:num w:numId="11" w16cid:durableId="1796754296">
    <w:abstractNumId w:val="6"/>
  </w:num>
  <w:num w:numId="12" w16cid:durableId="384646512">
    <w:abstractNumId w:val="26"/>
  </w:num>
  <w:num w:numId="13" w16cid:durableId="1573813467">
    <w:abstractNumId w:val="34"/>
  </w:num>
  <w:num w:numId="14" w16cid:durableId="1493519478">
    <w:abstractNumId w:val="12"/>
  </w:num>
  <w:num w:numId="15" w16cid:durableId="127743599">
    <w:abstractNumId w:val="51"/>
  </w:num>
  <w:num w:numId="16" w16cid:durableId="1895191140">
    <w:abstractNumId w:val="52"/>
  </w:num>
  <w:num w:numId="17" w16cid:durableId="828903070">
    <w:abstractNumId w:val="4"/>
  </w:num>
  <w:num w:numId="18" w16cid:durableId="1821799038">
    <w:abstractNumId w:val="15"/>
  </w:num>
  <w:num w:numId="19" w16cid:durableId="985160454">
    <w:abstractNumId w:val="32"/>
  </w:num>
  <w:num w:numId="20" w16cid:durableId="1390036946">
    <w:abstractNumId w:val="3"/>
  </w:num>
  <w:num w:numId="21" w16cid:durableId="381757924">
    <w:abstractNumId w:val="38"/>
  </w:num>
  <w:num w:numId="22" w16cid:durableId="1834640208">
    <w:abstractNumId w:val="7"/>
  </w:num>
  <w:num w:numId="23" w16cid:durableId="303239897">
    <w:abstractNumId w:val="25"/>
  </w:num>
  <w:num w:numId="24" w16cid:durableId="1178815800">
    <w:abstractNumId w:val="20"/>
  </w:num>
  <w:num w:numId="25" w16cid:durableId="1387993154">
    <w:abstractNumId w:val="37"/>
  </w:num>
  <w:num w:numId="26" w16cid:durableId="940138824">
    <w:abstractNumId w:val="39"/>
  </w:num>
  <w:num w:numId="27" w16cid:durableId="871189877">
    <w:abstractNumId w:val="36"/>
  </w:num>
  <w:num w:numId="28" w16cid:durableId="418596070">
    <w:abstractNumId w:val="53"/>
  </w:num>
  <w:num w:numId="29" w16cid:durableId="1149438441">
    <w:abstractNumId w:val="29"/>
  </w:num>
  <w:num w:numId="30" w16cid:durableId="1023165204">
    <w:abstractNumId w:val="50"/>
  </w:num>
  <w:num w:numId="31" w16cid:durableId="730009029">
    <w:abstractNumId w:val="24"/>
  </w:num>
  <w:num w:numId="32" w16cid:durableId="2073652555">
    <w:abstractNumId w:val="22"/>
  </w:num>
  <w:num w:numId="33" w16cid:durableId="483818738">
    <w:abstractNumId w:val="23"/>
  </w:num>
  <w:num w:numId="34" w16cid:durableId="131290464">
    <w:abstractNumId w:val="14"/>
  </w:num>
  <w:num w:numId="35" w16cid:durableId="95028661">
    <w:abstractNumId w:val="43"/>
  </w:num>
  <w:num w:numId="36" w16cid:durableId="1685277302">
    <w:abstractNumId w:val="42"/>
  </w:num>
  <w:num w:numId="37" w16cid:durableId="1056201746">
    <w:abstractNumId w:val="44"/>
  </w:num>
  <w:num w:numId="38" w16cid:durableId="320888914">
    <w:abstractNumId w:val="1"/>
  </w:num>
  <w:num w:numId="39" w16cid:durableId="973947978">
    <w:abstractNumId w:val="8"/>
  </w:num>
  <w:num w:numId="40" w16cid:durableId="481851905">
    <w:abstractNumId w:val="33"/>
  </w:num>
  <w:num w:numId="41" w16cid:durableId="35131783">
    <w:abstractNumId w:val="16"/>
  </w:num>
  <w:num w:numId="42" w16cid:durableId="996225891">
    <w:abstractNumId w:val="11"/>
  </w:num>
  <w:num w:numId="43" w16cid:durableId="1772119684">
    <w:abstractNumId w:val="17"/>
  </w:num>
  <w:num w:numId="44" w16cid:durableId="27949030">
    <w:abstractNumId w:val="49"/>
  </w:num>
  <w:num w:numId="45" w16cid:durableId="851649167">
    <w:abstractNumId w:val="30"/>
  </w:num>
  <w:num w:numId="46" w16cid:durableId="970402239">
    <w:abstractNumId w:val="35"/>
  </w:num>
  <w:num w:numId="47" w16cid:durableId="580914988">
    <w:abstractNumId w:val="2"/>
  </w:num>
  <w:num w:numId="48" w16cid:durableId="431779794">
    <w:abstractNumId w:val="13"/>
  </w:num>
  <w:num w:numId="49" w16cid:durableId="1889295877">
    <w:abstractNumId w:val="31"/>
  </w:num>
  <w:num w:numId="50" w16cid:durableId="1837187841">
    <w:abstractNumId w:val="0"/>
  </w:num>
  <w:num w:numId="51" w16cid:durableId="180826528">
    <w:abstractNumId w:val="45"/>
  </w:num>
  <w:num w:numId="52" w16cid:durableId="1737825591">
    <w:abstractNumId w:val="48"/>
  </w:num>
  <w:num w:numId="53" w16cid:durableId="1392382777">
    <w:abstractNumId w:val="18"/>
  </w:num>
  <w:num w:numId="54" w16cid:durableId="122252426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3C"/>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4AFE"/>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6C3"/>
    <w:rsid w:val="002C0D21"/>
    <w:rsid w:val="002C1759"/>
    <w:rsid w:val="002C17F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431"/>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43"/>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0C1A"/>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805"/>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3F9"/>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73F"/>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3F6C"/>
    <w:rsid w:val="004E4506"/>
    <w:rsid w:val="004E48D1"/>
    <w:rsid w:val="004E49BF"/>
    <w:rsid w:val="004E51EC"/>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5C4"/>
    <w:rsid w:val="007937BA"/>
    <w:rsid w:val="00793917"/>
    <w:rsid w:val="00793D4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3C09"/>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8E9"/>
    <w:rsid w:val="00A97BAB"/>
    <w:rsid w:val="00AA021C"/>
    <w:rsid w:val="00AA0564"/>
    <w:rsid w:val="00AA0AAC"/>
    <w:rsid w:val="00AA0BF3"/>
    <w:rsid w:val="00AA0E67"/>
    <w:rsid w:val="00AA1428"/>
    <w:rsid w:val="00AA1AA3"/>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8D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262"/>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A90"/>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0ADD"/>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230"/>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75E"/>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64A"/>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9BC"/>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WW8Num1z0">
    <w:name w:val="WW8Num1z0"/>
    <w:rsid w:val="00B86A90"/>
  </w:style>
  <w:style w:type="character" w:customStyle="1" w:styleId="ui-provider">
    <w:name w:val="ui-provider"/>
    <w:rsid w:val="00B86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9802</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273</cp:revision>
  <cp:lastPrinted>2012-10-30T00:20:00Z</cp:lastPrinted>
  <dcterms:created xsi:type="dcterms:W3CDTF">2020-08-03T07:44:00Z</dcterms:created>
  <dcterms:modified xsi:type="dcterms:W3CDTF">2025-03-27T08:53:00Z</dcterms:modified>
</cp:coreProperties>
</file>